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A" w:rsidRDefault="005F4F5A" w:rsidP="00D75A62">
      <w:pPr>
        <w:pStyle w:val="cmjNASLOV"/>
      </w:pPr>
      <w:r>
        <w:t>Emocionalni i ponašajni ishodi te kvaliteta života kod djece školske dobi koja su rođena kasno prijevremeno: retrospektivno kohortno istraživanje</w:t>
      </w:r>
    </w:p>
    <w:p w:rsidR="005F4F5A" w:rsidRDefault="005F4F5A" w:rsidP="00D75A62">
      <w:pPr>
        <w:pStyle w:val="cmjTEXT"/>
        <w:rPr>
          <w:rFonts w:eastAsia="MyriadPro-Light"/>
        </w:rPr>
      </w:pPr>
      <w:r>
        <w:rPr>
          <w:b/>
          <w:bCs/>
        </w:rPr>
        <w:t xml:space="preserve">Cilj </w:t>
      </w:r>
      <w:r>
        <w:rPr>
          <w:rFonts w:eastAsia="MyriadPro-Light"/>
        </w:rPr>
        <w:t xml:space="preserve">Odrediti učinak kasnog prijevremenog rođenja i liječenja na odjelu intenzivne skrbi na emocionalne i ponašajne probleme i kvalitetu života djece školske dobi.  </w:t>
      </w:r>
    </w:p>
    <w:p w:rsidR="005F4F5A" w:rsidRDefault="005F4F5A" w:rsidP="00D75A62">
      <w:pPr>
        <w:pStyle w:val="cmjTEXT"/>
        <w:rPr>
          <w:rFonts w:eastAsia="MyriadPro-Light"/>
        </w:rPr>
      </w:pPr>
      <w:r>
        <w:rPr>
          <w:b/>
          <w:bCs/>
        </w:rPr>
        <w:t xml:space="preserve">Postupci </w:t>
      </w:r>
      <w:r>
        <w:rPr>
          <w:bCs/>
        </w:rPr>
        <w:t>Istraživali smo</w:t>
      </w:r>
      <w:r>
        <w:rPr>
          <w:b/>
          <w:bCs/>
        </w:rPr>
        <w:t xml:space="preserve"> </w:t>
      </w:r>
      <w:r>
        <w:rPr>
          <w:rFonts w:eastAsia="MyriadPro-Light"/>
        </w:rPr>
        <w:t xml:space="preserve">emocionalne i ponašajne probleme i kvalitetu života kod djece u dobi 6-12 godina koja su rođena kasno prijevremeno u Kliničko-bolničkom centru Split u razdoblju između siječnja 2002. do ožujka 2008. Uključili smo 126 djece rođene kasno prijevremeno (LP, prema engl, </w:t>
      </w:r>
      <w:r>
        <w:rPr>
          <w:rFonts w:eastAsia="MyriadPro-Light"/>
          <w:i/>
        </w:rPr>
        <w:t>late preterm</w:t>
      </w:r>
      <w:r>
        <w:rPr>
          <w:rFonts w:eastAsia="MyriadPro-Light"/>
        </w:rPr>
        <w:t xml:space="preserve">) liječene na odjelu intenzivne skrbi (ICU, prema engl, </w:t>
      </w:r>
      <w:r>
        <w:rPr>
          <w:rFonts w:eastAsia="MyriadPro-Light"/>
          <w:i/>
        </w:rPr>
        <w:t>intensive care unit</w:t>
      </w:r>
      <w:r>
        <w:rPr>
          <w:rFonts w:eastAsia="MyriadPro-Light"/>
        </w:rPr>
        <w:t xml:space="preserve">) (skupina LP-ICU), 127 djece rođene kasno prijevremeno koji nisu liječeni na ICU (skupina LP-ne-ICU) i 131 dijete rođeno u terminu (FT, prema engl, </w:t>
      </w:r>
      <w:r>
        <w:rPr>
          <w:rFonts w:eastAsia="MyriadPro-Light"/>
          <w:i/>
        </w:rPr>
        <w:t>full term</w:t>
      </w:r>
      <w:r>
        <w:rPr>
          <w:rFonts w:eastAsia="MyriadPro-Light"/>
        </w:rPr>
        <w:t>) liječenih u ICU (skupina FT-ICU). Emocionalni i ponašajni problemi određeni su Listom dječjeg ponašanja (prem</w:t>
      </w:r>
      <w:bookmarkStart w:id="0" w:name="_GoBack"/>
      <w:bookmarkEnd w:id="0"/>
      <w:r>
        <w:rPr>
          <w:rFonts w:eastAsia="MyriadPro-Light"/>
        </w:rPr>
        <w:t>a engl ,</w:t>
      </w:r>
      <w:r>
        <w:rPr>
          <w:rFonts w:eastAsia="MyriadPro-Light"/>
          <w:i/>
        </w:rPr>
        <w:t>Child Behavior Checklist</w:t>
      </w:r>
      <w:r>
        <w:rPr>
          <w:rFonts w:eastAsia="MyriadPro-Light"/>
        </w:rPr>
        <w:t xml:space="preserve">). Kvaliteta života određena je upitnikom Mjera funkcije Dječje bolnice Royal Alexandra (prema engl, </w:t>
      </w:r>
      <w:r>
        <w:rPr>
          <w:rFonts w:eastAsia="MyriadPro-Light"/>
          <w:i/>
        </w:rPr>
        <w:t>Royal Alexandra Hospital for Children Measure of Function</w:t>
      </w:r>
      <w:r>
        <w:rPr>
          <w:rFonts w:eastAsia="MyriadPro-Light"/>
        </w:rPr>
        <w:t>). Podaci su prikupljeni 2014. godine telefonskim razgovorom s majkama.</w:t>
      </w:r>
    </w:p>
    <w:p w:rsidR="005F4F5A" w:rsidRDefault="005F4F5A" w:rsidP="00D75A62">
      <w:pPr>
        <w:pStyle w:val="cmjTEXT"/>
        <w:rPr>
          <w:rFonts w:eastAsia="MyriadPro-Light"/>
        </w:rPr>
      </w:pPr>
      <w:r>
        <w:rPr>
          <w:b/>
          <w:bCs/>
        </w:rPr>
        <w:t xml:space="preserve">Rezultati </w:t>
      </w:r>
      <w:r>
        <w:rPr>
          <w:bCs/>
        </w:rPr>
        <w:t xml:space="preserve">Kasno prijevremeno rođena djeca </w:t>
      </w:r>
      <w:r>
        <w:rPr>
          <w:rFonts w:eastAsia="MyriadPro-Light"/>
        </w:rPr>
        <w:t xml:space="preserve">imala su gotovo peterostruki rizik od internaliziranja problema u usporedbi s FT-ICU skupinom (omjer ishoda [prema engl, odds ratio, OR] 4,76, 95% interval pouzdanosti [prema engl, </w:t>
      </w:r>
      <w:r>
        <w:rPr>
          <w:rFonts w:eastAsia="MyriadPro-Light"/>
          <w:i/>
        </w:rPr>
        <w:t>confidence interval,</w:t>
      </w:r>
      <w:r>
        <w:rPr>
          <w:rFonts w:eastAsia="MyriadPro-Light"/>
        </w:rPr>
        <w:t xml:space="preserve"> CI] 2,37-9,56 za LP-ICU i OR 4,82, 95% CI 2,25-10,37 za LP-ne-ICU skupinu). Ona su također imala veći rizik od eksternaliziranja problema (OR 3,08, 95% CI 1,44-6,61 za LP-ICU i OR 2,68, 95% CI 1,14-6,28 za LP-ne-ICU skupinu) i od ukupnih problema (OR 6,29, 95% CI 2,86-13,83 za LP-ICU i OR 7,38, 95% CI 3,08-17,69 za LP-ne-ICU skupinu) te znatno povišen rizik za lošiju kvalitetu života (OR 12,79, 95% CI 5,56-29,41 za LP-ICU i OR 5,05, 95% CI 2,04-12,48 za LP-ne-ICU skupinu).</w:t>
      </w:r>
    </w:p>
    <w:p w:rsidR="005F4F5A" w:rsidRPr="005F4F5A" w:rsidRDefault="005F4F5A" w:rsidP="00D75A62">
      <w:pPr>
        <w:pStyle w:val="cmjTEXT"/>
        <w:rPr>
          <w:rFonts w:eastAsia="Calibri"/>
          <w:sz w:val="20"/>
          <w:szCs w:val="20"/>
        </w:rPr>
      </w:pPr>
      <w:r>
        <w:rPr>
          <w:b/>
          <w:bCs/>
        </w:rPr>
        <w:t xml:space="preserve">Zaključak </w:t>
      </w:r>
      <w:r>
        <w:rPr>
          <w:rFonts w:eastAsia="MyriadPro-Light"/>
        </w:rPr>
        <w:t xml:space="preserve">Kasno prijevremeno rođena djeca imala su veći rizik od emocionalnih i ponašajnih problema i lošiju kvalitetu života za vrijeme djetinjstva nego njihovi vršnjaci rođeni u terminu te su iskusila ozbiljne zdravstvene probleme nakon rođenja.  </w:t>
      </w: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C7" w:rsidRDefault="00113BC7">
      <w:r>
        <w:separator/>
      </w:r>
    </w:p>
  </w:endnote>
  <w:endnote w:type="continuationSeparator" w:id="0">
    <w:p w:rsidR="00113BC7" w:rsidRDefault="0011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A6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C7" w:rsidRDefault="00113BC7">
      <w:r>
        <w:separator/>
      </w:r>
    </w:p>
  </w:footnote>
  <w:footnote w:type="continuationSeparator" w:id="0">
    <w:p w:rsidR="00113BC7" w:rsidRDefault="0011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5F4F5A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13B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4F5A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75A62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5A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5A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2</cp:revision>
  <cp:lastPrinted>2007-04-24T13:16:00Z</cp:lastPrinted>
  <dcterms:created xsi:type="dcterms:W3CDTF">2018-05-09T07:10:00Z</dcterms:created>
  <dcterms:modified xsi:type="dcterms:W3CDTF">2018-05-09T07:11:00Z</dcterms:modified>
</cp:coreProperties>
</file>